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0" w:rsidRDefault="002B7BC4">
      <w:pPr>
        <w:jc w:val="center"/>
        <w:rPr>
          <w:i/>
          <w:color w:val="auto"/>
          <w:sz w:val="32"/>
          <w:szCs w:val="32"/>
          <w:lang w:val="uk-UA"/>
        </w:rPr>
      </w:pPr>
      <w:bookmarkStart w:id="0" w:name="_GoBack"/>
      <w:bookmarkEnd w:id="0"/>
      <w:r>
        <w:rPr>
          <w:b/>
          <w:color w:val="auto"/>
          <w:sz w:val="32"/>
          <w:szCs w:val="32"/>
          <w:lang w:val="uk-UA"/>
        </w:rPr>
        <w:t xml:space="preserve">Історія України </w:t>
      </w:r>
      <w:r>
        <w:rPr>
          <w:i/>
          <w:color w:val="auto"/>
          <w:sz w:val="32"/>
          <w:szCs w:val="32"/>
          <w:lang w:val="uk-UA"/>
        </w:rPr>
        <w:t>(52 години)</w:t>
      </w:r>
    </w:p>
    <w:p w:rsidR="00150BA0" w:rsidRDefault="002B7BC4">
      <w:pPr>
        <w:jc w:val="center"/>
        <w:rPr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>8 клас</w:t>
      </w:r>
    </w:p>
    <w:p w:rsidR="00150BA0" w:rsidRDefault="002B7BC4">
      <w:pPr>
        <w:rPr>
          <w:rFonts w:ascii="Monotype Corsiva" w:eastAsia="SimSun" w:hAnsi="Monotype Corsiva" w:cs="Monotype Corsiva"/>
          <w:sz w:val="24"/>
          <w:szCs w:val="24"/>
        </w:rPr>
      </w:pP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Історія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України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: </w:t>
      </w:r>
      <w:proofErr w:type="spellStart"/>
      <w:proofErr w:type="gramStart"/>
      <w:r>
        <w:rPr>
          <w:rFonts w:ascii="Monotype Corsiva" w:eastAsia="SimSun" w:hAnsi="Monotype Corsiva" w:cs="Monotype Corsiva"/>
          <w:sz w:val="24"/>
          <w:szCs w:val="24"/>
        </w:rPr>
        <w:t>п</w:t>
      </w:r>
      <w:proofErr w:type="gramEnd"/>
      <w:r>
        <w:rPr>
          <w:rFonts w:ascii="Monotype Corsiva" w:eastAsia="SimSun" w:hAnsi="Monotype Corsiva" w:cs="Monotype Corsiva"/>
          <w:sz w:val="24"/>
          <w:szCs w:val="24"/>
        </w:rPr>
        <w:t>ідруч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. для 8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кл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.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закладів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загальної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середньої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освіти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 / І. Я. Щупак, Б. В.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Черкас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, О. В. Бурлака, Н. С. Власова, К. Ю. Галушко, В. О.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Кронгауз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, І. О.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Піскарьова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, Д. О.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Секиринський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 xml:space="preserve">. — 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Київ</w:t>
      </w:r>
      <w:proofErr w:type="spellEnd"/>
      <w:proofErr w:type="gramStart"/>
      <w:r>
        <w:rPr>
          <w:rFonts w:ascii="Monotype Corsiva" w:eastAsia="SimSun" w:hAnsi="Monotype Corsiva" w:cs="Monotype Corsiva"/>
          <w:sz w:val="24"/>
          <w:szCs w:val="24"/>
        </w:rPr>
        <w:t xml:space="preserve"> :</w:t>
      </w:r>
      <w:proofErr w:type="gramEnd"/>
      <w:r>
        <w:rPr>
          <w:rFonts w:ascii="Monotype Corsiva" w:eastAsia="SimSun" w:hAnsi="Monotype Corsiva" w:cs="Monotype Corsiva"/>
          <w:sz w:val="24"/>
          <w:szCs w:val="24"/>
        </w:rPr>
        <w:t xml:space="preserve"> УОВЦ </w:t>
      </w:r>
      <w:r>
        <w:rPr>
          <w:rFonts w:ascii="Monotype Corsiva" w:eastAsia="SimSun" w:hAnsi="Monotype Corsiva" w:cs="Monotype Corsiva"/>
          <w:sz w:val="24"/>
          <w:szCs w:val="24"/>
        </w:rPr>
        <w:t>«</w:t>
      </w:r>
      <w:proofErr w:type="spellStart"/>
      <w:r>
        <w:rPr>
          <w:rFonts w:ascii="Monotype Corsiva" w:eastAsia="SimSun" w:hAnsi="Monotype Corsiva" w:cs="Monotype Corsiva"/>
          <w:sz w:val="24"/>
          <w:szCs w:val="24"/>
        </w:rPr>
        <w:t>Оріон</w:t>
      </w:r>
      <w:proofErr w:type="spellEnd"/>
      <w:r>
        <w:rPr>
          <w:rFonts w:ascii="Monotype Corsiva" w:eastAsia="SimSun" w:hAnsi="Monotype Corsiva" w:cs="Monotype Corsiva"/>
          <w:sz w:val="24"/>
          <w:szCs w:val="24"/>
        </w:rPr>
        <w:t>», 2021.</w:t>
      </w:r>
    </w:p>
    <w:tbl>
      <w:tblPr>
        <w:tblStyle w:val="a3"/>
        <w:tblW w:w="11340" w:type="dxa"/>
        <w:tblInd w:w="-1274" w:type="dxa"/>
        <w:tblLayout w:type="fixed"/>
        <w:tblLook w:val="04A0" w:firstRow="1" w:lastRow="0" w:firstColumn="1" w:lastColumn="0" w:noHBand="0" w:noVBand="1"/>
      </w:tblPr>
      <w:tblGrid>
        <w:gridCol w:w="480"/>
        <w:gridCol w:w="832"/>
        <w:gridCol w:w="3968"/>
        <w:gridCol w:w="1290"/>
        <w:gridCol w:w="4770"/>
      </w:tblGrid>
      <w:tr w:rsidR="00150BA0">
        <w:tc>
          <w:tcPr>
            <w:tcW w:w="480" w:type="dxa"/>
          </w:tcPr>
          <w:p w:rsidR="00150BA0" w:rsidRDefault="002B7BC4">
            <w:pPr>
              <w:rPr>
                <w:rFonts w:eastAsia="SimSu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832" w:type="dxa"/>
          </w:tcPr>
          <w:p w:rsidR="00150BA0" w:rsidRDefault="002B7BC4">
            <w:pPr>
              <w:rPr>
                <w:rFonts w:eastAsia="SimSu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Зміст навчально-пізнавальної діяльності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770" w:type="dxa"/>
          </w:tcPr>
          <w:p w:rsidR="00150BA0" w:rsidRDefault="002B7BC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Результати навчально-пізнавальної діяльності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 xml:space="preserve"> </w:t>
            </w:r>
            <w:r>
              <w:rPr>
                <w:rFonts w:ascii="Monotype Corsiva" w:eastAsia="SimSun" w:hAnsi="Monotype Corsiva" w:cs="Monotype Corsiva"/>
                <w:b/>
                <w:bCs/>
                <w:sz w:val="24"/>
                <w:szCs w:val="24"/>
              </w:rPr>
              <w:t>Вступ</w:t>
            </w:r>
            <w:r>
              <w:rPr>
                <w:rFonts w:ascii="Monotype Corsiva" w:eastAsia="SimSun" w:hAnsi="Monotype Corsiva" w:cs="Monotype Corsiva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</w:rPr>
              <w:t>Ранній</w:t>
            </w:r>
            <w:proofErr w:type="spellEnd"/>
            <w:r>
              <w:rPr>
                <w:rFonts w:ascii="Monotype Corsiva" w:eastAsia="SimSun" w:hAnsi="Monotype Corsiva" w:cs="Monotype Corsiva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</w:rPr>
              <w:t>Новий</w:t>
            </w:r>
            <w:proofErr w:type="spellEnd"/>
            <w:r>
              <w:rPr>
                <w:rFonts w:ascii="Monotype Corsiva" w:eastAsia="SimSun" w:hAnsi="Monotype Corsiva" w:cs="Monotype Corsiva"/>
              </w:rPr>
              <w:t xml:space="preserve"> час в </w:t>
            </w:r>
            <w:proofErr w:type="spellStart"/>
            <w:r>
              <w:rPr>
                <w:rFonts w:ascii="Monotype Corsiva" w:eastAsia="SimSun" w:hAnsi="Monotype Corsiva" w:cs="Monotype Corsiva"/>
              </w:rPr>
              <w:t>історії</w:t>
            </w:r>
            <w:proofErr w:type="spellEnd"/>
            <w:r>
              <w:rPr>
                <w:rFonts w:ascii="Monotype Corsiva" w:eastAsia="SimSun" w:hAnsi="Monotype Corsiva" w:cs="Monotype Corsiva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</w:rPr>
              <w:t>України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1.</w:t>
            </w:r>
          </w:p>
        </w:tc>
        <w:tc>
          <w:tcPr>
            <w:tcW w:w="477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11340" w:type="dxa"/>
            <w:gridSpan w:val="5"/>
          </w:tcPr>
          <w:p w:rsidR="00150BA0" w:rsidRDefault="002B7BC4">
            <w:pPr>
              <w:jc w:val="center"/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Розділ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1. ЗЕМЛІ УКРАЇНИ </w:t>
            </w:r>
            <w:proofErr w:type="gram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У</w:t>
            </w:r>
            <w:proofErr w:type="gram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СКЛАД</w:t>
            </w:r>
            <w:proofErr w:type="gram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І РЕЧІ ПОСПОЛИТОЇ (XVI – перша половина XVII ст.)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землі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склад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держав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Європи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Азії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першій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половині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XVI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2</w:t>
            </w:r>
          </w:p>
        </w:tc>
        <w:tc>
          <w:tcPr>
            <w:tcW w:w="4770" w:type="dxa"/>
            <w:vMerge w:val="restart"/>
          </w:tcPr>
          <w:p w:rsidR="00150BA0" w:rsidRDefault="002B7BC4">
            <w:pPr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Знаю: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дати укладення </w:t>
            </w:r>
            <w:proofErr w:type="spellStart"/>
            <w:r>
              <w:rPr>
                <w:color w:val="auto"/>
                <w:lang w:val="uk-UA"/>
              </w:rPr>
              <w:t>Пересопницького</w:t>
            </w:r>
            <w:proofErr w:type="spellEnd"/>
            <w:r>
              <w:rPr>
                <w:color w:val="auto"/>
                <w:lang w:val="uk-UA"/>
              </w:rPr>
              <w:t xml:space="preserve"> Євангелія, Литовських статутів, Берестейської церковної унії, утворення Київської (Києво-Могилянської) колегії, відновлення православної ієрар</w:t>
            </w:r>
            <w:r>
              <w:rPr>
                <w:color w:val="auto"/>
                <w:lang w:val="uk-UA"/>
              </w:rPr>
              <w:t>хії, підписання «Пунктів для заспокоєння руського народу»;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адміністративно-територіальний устрій українських земель у складі Речі Посполитої.</w:t>
            </w:r>
          </w:p>
          <w:p w:rsidR="00150BA0" w:rsidRDefault="002B7BC4">
            <w:pPr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Розумію: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наслідки укладення Люблінської унії для українського суспільства;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роль фільваркового господарства в соціа</w:t>
            </w:r>
            <w:r>
              <w:rPr>
                <w:color w:val="auto"/>
                <w:lang w:val="uk-UA"/>
              </w:rPr>
              <w:t>льно-економічному житті Європи й України;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вплив Реформації і Контрреформації на суспільне життя українців у Речі Посполитій;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історичне значення розвитку книговидання та шкільництва на теренах України;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поняття «фільварок», «оренда», «рента», «панщина», </w:t>
            </w:r>
            <w:r>
              <w:rPr>
                <w:color w:val="auto"/>
                <w:lang w:val="uk-UA"/>
              </w:rPr>
              <w:t>«</w:t>
            </w:r>
            <w:proofErr w:type="spellStart"/>
            <w:r>
              <w:rPr>
                <w:color w:val="auto"/>
                <w:lang w:val="uk-UA"/>
              </w:rPr>
              <w:t>унійна</w:t>
            </w:r>
            <w:proofErr w:type="spellEnd"/>
            <w:r>
              <w:rPr>
                <w:color w:val="auto"/>
                <w:lang w:val="uk-UA"/>
              </w:rPr>
              <w:t xml:space="preserve"> (греко-католицька) церква», «полемічна література», «церковні братства», «слов’яно-греко-латинська школа», «колегія», «академія», «вертеп», «гравюра».</w:t>
            </w:r>
          </w:p>
          <w:p w:rsidR="00150BA0" w:rsidRDefault="002B7BC4">
            <w:pPr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розташувати в хронологічній послідовності відомості про характерні для XVІ і першої половин</w:t>
            </w:r>
            <w:r>
              <w:rPr>
                <w:color w:val="auto"/>
                <w:lang w:val="uk-UA"/>
              </w:rPr>
              <w:t>и XVІІ ст. Процеси соціально-економічного, політичного та культурного життя на теренах України;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показати на карті територіальний розподіл України на початок XVІ ст. і зміни, що відбулися внаслідок Люблінської унії;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обґрунтувати власні судження про діячів </w:t>
            </w:r>
            <w:r>
              <w:rPr>
                <w:color w:val="auto"/>
                <w:lang w:val="uk-UA"/>
              </w:rPr>
              <w:t xml:space="preserve">церкви і культури XVІ – першої половини XVІІ ст.;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охарактеризувати господарське, політичне та релігійне життя на українських землях у XVІ – першій половини XVІІ ст.;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розкрити цілі та напрямки діяльності православних братств;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визначити причини і наслідки </w:t>
            </w:r>
            <w:r>
              <w:rPr>
                <w:color w:val="auto"/>
                <w:lang w:val="uk-UA"/>
              </w:rPr>
              <w:t>поширення на теренах України фільваркового господарства, розгортання діяльності православних братств, укладення Берестейської унії, утворення Острозької та Київської колегій (академій);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rFonts w:ascii="Monotype Corsiva" w:eastAsia="SimSun" w:hAnsi="Monotype Corsiva" w:cs="Monotype Corsiva"/>
              </w:rPr>
            </w:pPr>
            <w:r>
              <w:rPr>
                <w:color w:val="auto"/>
                <w:lang w:val="uk-UA"/>
              </w:rPr>
              <w:t xml:space="preserve">розпізнавати пам’ятки архітектури, зведені на теренах України в стилі </w:t>
            </w:r>
            <w:r>
              <w:rPr>
                <w:color w:val="auto"/>
                <w:lang w:val="uk-UA"/>
              </w:rPr>
              <w:t>ренесанс.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Люблінська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унія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її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вплив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суспільство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більшості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земель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складі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Речі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Посполитої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3.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Соц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іально-економічне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становище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земель у XVІ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4.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5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Церковні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рел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ігійні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проблеми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XVI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5–6.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6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Берестейська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церковна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унія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1596 року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її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наслідки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7.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8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Церковне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життя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першої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половини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XVII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8.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9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Культурне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життя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землях у Х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V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І –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першій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половині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ХVІІ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9–10.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10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Практична робота «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Повсякденне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життя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св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ітогляд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різних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станів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суспільства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». 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11–12.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rPr>
          <w:trHeight w:val="408"/>
        </w:trPr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розділу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rPr>
          <w:trHeight w:val="408"/>
        </w:trPr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b/>
                <w:color w:val="0070C0"/>
                <w:sz w:val="22"/>
                <w:szCs w:val="22"/>
                <w:lang w:val="uk-UA"/>
              </w:rPr>
              <w:t>Тематичний контроль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 w:rsidRPr="002B7BC4">
        <w:trPr>
          <w:trHeight w:val="408"/>
        </w:trPr>
        <w:tc>
          <w:tcPr>
            <w:tcW w:w="6570" w:type="dxa"/>
            <w:gridSpan w:val="4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Рекомендований перелік історичних осіб, про діяльність яких учні</w:t>
            </w:r>
            <w:r>
              <w:rPr>
                <w:color w:val="auto"/>
                <w:sz w:val="18"/>
                <w:szCs w:val="18"/>
                <w:lang w:val="uk-UA"/>
              </w:rPr>
              <w:t>/</w:t>
            </w:r>
            <w:r>
              <w:rPr>
                <w:b/>
                <w:i/>
                <w:color w:val="auto"/>
                <w:sz w:val="18"/>
                <w:szCs w:val="18"/>
                <w:lang w:val="uk-UA"/>
              </w:rPr>
              <w:t>учениці</w:t>
            </w:r>
            <w:r>
              <w:rPr>
                <w:b/>
                <w:color w:val="auto"/>
                <w:sz w:val="18"/>
                <w:szCs w:val="18"/>
                <w:lang w:val="uk-UA"/>
              </w:rPr>
              <w:t xml:space="preserve"> можуть самостійно формувати судження на основі навчальних матеріалів і адаптованих джерел </w:t>
            </w:r>
            <w:r>
              <w:rPr>
                <w:color w:val="auto"/>
                <w:sz w:val="18"/>
                <w:szCs w:val="18"/>
                <w:lang w:val="uk-UA"/>
              </w:rPr>
              <w:t>(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на вибір учителя/учительки</w:t>
            </w:r>
            <w:r>
              <w:rPr>
                <w:color w:val="auto"/>
                <w:sz w:val="18"/>
                <w:szCs w:val="18"/>
                <w:lang w:val="uk-UA"/>
              </w:rPr>
              <w:t>)</w:t>
            </w:r>
            <w:r>
              <w:rPr>
                <w:bCs/>
                <w:color w:val="auto"/>
                <w:sz w:val="18"/>
                <w:szCs w:val="18"/>
                <w:lang w:val="uk-UA"/>
              </w:rPr>
              <w:t>:</w:t>
            </w:r>
            <w:r>
              <w:rPr>
                <w:b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 xml:space="preserve">Василь-Костянтин Острозький, Іван Федорович, Іпатій Потій, Йосип-Веніамін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/>
              </w:rPr>
              <w:t>Рутський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/>
              </w:rPr>
              <w:t xml:space="preserve">, Герасим і Мелетій Смотрицькі, Іван Вишенський, Йов 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Борецький, Петро Могила та ін.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Орієнтовні завдання для практичних і творчих робіт: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внести у синхронізовану хронологічну таблицю відомості про Литовські статути, Люблінську унію,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Пересопницьке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 xml:space="preserve"> Євангеліє, вихід друком перших книжок, заснування Острозької ака</w:t>
            </w:r>
            <w:r>
              <w:rPr>
                <w:color w:val="auto"/>
                <w:sz w:val="18"/>
                <w:szCs w:val="18"/>
                <w:lang w:val="uk-UA"/>
              </w:rPr>
              <w:t>демії, Львівської братської школи, Київської (Києво-Могилянської) колегії, інше;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позначити на контурній карті адміністративно-територіальний устрій українських земель у складі Речі Посполитої;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виокремити у витягах з Литовських статутів норми, в яких втілен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о ідеї рівності вільних людей перед законом, особистої недоторканності, юридичного захисту прав вільної («шляхетної») особи, особистої відповідальності перед законом;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описати (усно або письмово) повсякденне життя представників основних верств українського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 суспільства XVІ – першої половини XVІІ ст.;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здійснити уявну подорож-екскурсію до історико-культурних пам’яток XVІ – першої половини XVІІ ст., визначити цінності та норми життя, що їх утверджували автори цих витворів мистецтва (архітектури, скульптури, обр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азотворчого мистецтва).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>
        <w:tc>
          <w:tcPr>
            <w:tcW w:w="11340" w:type="dxa"/>
            <w:gridSpan w:val="5"/>
          </w:tcPr>
          <w:p w:rsidR="00150BA0" w:rsidRDefault="002B7BC4">
            <w:pPr>
              <w:jc w:val="center"/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Розділ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2. СТАНОВЛЕННЯ КОЗАЦТВА (Х</w:t>
            </w:r>
            <w:proofErr w:type="gram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V</w:t>
            </w:r>
            <w:proofErr w:type="gram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І – перша половина ХVІІ ст.)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Дмитро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Вишневецький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Запорозька</w:t>
            </w:r>
            <w:proofErr w:type="spellEnd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іч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13.</w:t>
            </w:r>
          </w:p>
        </w:tc>
        <w:tc>
          <w:tcPr>
            <w:tcW w:w="4770" w:type="dxa"/>
            <w:vMerge w:val="restart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Знаю: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дати заснування першої Запорозької Січі, час виникнення реєстрового козацького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 війська та чинності «Ординації Війська Запорозького»;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напрямки походів козаків першої чверті ХVІІ ст.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Розумію: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передумови і розвиток козацтва до окремого соціального стану;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затвердження урядом Речі Посполитої реєстрового війська в 70-х роках XVI ст. як по</w:t>
            </w:r>
            <w:r>
              <w:rPr>
                <w:color w:val="auto"/>
                <w:sz w:val="18"/>
                <w:szCs w:val="18"/>
                <w:lang w:val="uk-UA"/>
              </w:rPr>
              <w:t>чаток визнання козацтва новим соціальним станом;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місце козацтва в захисті національних інтересів українського суспільства наприкінці XVI – у першій половині XVII ст.;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причини козацьких воєн (повстань);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поняття «козак», «зимівник», «Запорозька Січ», «кіш», </w:t>
            </w:r>
            <w:r>
              <w:rPr>
                <w:color w:val="auto"/>
                <w:sz w:val="18"/>
                <w:szCs w:val="18"/>
                <w:lang w:val="uk-UA"/>
              </w:rPr>
              <w:t>«кошовий отаман», «козацька рада», «козацькі клейноди», «реєстрове козацтво», «низове козацтво», «курінь», «покозачення».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розташувати в хронологічній послідовності відомості про формування козацтва як окремого соціального стану;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показати на карті об’</w:t>
            </w:r>
            <w:r>
              <w:rPr>
                <w:color w:val="auto"/>
                <w:sz w:val="18"/>
                <w:szCs w:val="18"/>
                <w:lang w:val="uk-UA"/>
              </w:rPr>
              <w:t>єкти, наявність яких свідчить про формування козацького стану;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охарактеризувати військово-політичну організацію козацтва;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описати традиції, звичаї й побут козаків, історико-культурні пам’ятки доби;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визначити причини та наслідки: виникнення козацтва і Січе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й, активності козацтва в морських і суходільних походах у Кримське ханство, Османську імперію, Московське царство; козацько-селянських повстань </w:t>
            </w:r>
          </w:p>
          <w:p w:rsidR="00150BA0" w:rsidRDefault="002B7BC4">
            <w:pPr>
              <w:ind w:left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1590-х і 1620–1630-х років;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обґрунтувати власні судження про Дмитра Вишневецького, Северина (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Семерія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>) Наливайка</w:t>
            </w:r>
            <w:r>
              <w:rPr>
                <w:color w:val="auto"/>
                <w:sz w:val="18"/>
                <w:szCs w:val="18"/>
                <w:lang w:val="uk-UA"/>
              </w:rPr>
              <w:t>, Петра Конашевича-Сагайдачного.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14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Реєстрове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повстання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кінця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ХVІ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14.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15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Походи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козаків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першої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чверті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V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ІІ ст. Петро Конашевич-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Сагайдачний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15.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16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Козацько-селянські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повстання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20–30-х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років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ХVІІ ст. «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Ординація</w:t>
            </w:r>
            <w:proofErr w:type="spellEnd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ійська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Запорозького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16.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17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Практична робота «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Соц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іальна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побут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військова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майстерність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».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17–18.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18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розділу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2 .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rPr>
          <w:trHeight w:val="132"/>
        </w:trPr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19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b/>
                <w:color w:val="0070C0"/>
                <w:sz w:val="22"/>
                <w:szCs w:val="22"/>
                <w:lang w:val="uk-UA"/>
              </w:rPr>
              <w:t>Тематичний контроль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 w:rsidRPr="002B7BC4">
        <w:trPr>
          <w:trHeight w:val="312"/>
        </w:trPr>
        <w:tc>
          <w:tcPr>
            <w:tcW w:w="6570" w:type="dxa"/>
            <w:gridSpan w:val="4"/>
            <w:vMerge w:val="restart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Орієнтовні завдання для практичних і творчих робіт: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внести в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 синхронізовану хронологічну таблицю відомості про формування козацького стану: утворення козацьких Січей, укладання козацького реєстру, походи козаків у Кримське ханство, Османську імперію, Московське царство, Хотинську війну, козацько-селянські повстання</w:t>
            </w:r>
            <w:r>
              <w:rPr>
                <w:color w:val="auto"/>
                <w:sz w:val="18"/>
                <w:szCs w:val="18"/>
                <w:lang w:val="uk-UA"/>
              </w:rPr>
              <w:t>, видання «Ординації Війська Запорозького», інше;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позначити на контурній карті об’єкти, наявність яких свідчить про формування козацького стану (перші Січі, міста – осередки козацтва (Черкаси,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Трахтемирів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>, Чигирин), райони козацьких повстань 1590-х і 1620–</w:t>
            </w:r>
            <w:r>
              <w:rPr>
                <w:color w:val="auto"/>
                <w:sz w:val="18"/>
                <w:szCs w:val="18"/>
                <w:lang w:val="uk-UA"/>
              </w:rPr>
              <w:t>1630-х років);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описати (на основі джерел) повсякденне життя представників різних станів українського суспільства, військове мистецтво, традиції й побут козацтва, облаштування Січі.</w:t>
            </w:r>
          </w:p>
          <w:p w:rsidR="00150BA0" w:rsidRPr="002B7BC4" w:rsidRDefault="002B7BC4">
            <w:pPr>
              <w:rPr>
                <w:rFonts w:ascii="Monotype Corsiva" w:eastAsia="SimSun" w:hAnsi="Monotype Corsiva" w:cs="Monotype Corsiva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Міжпредметні зв’язки: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 8 клас. Українська література. Розділ: Українські нар</w:t>
            </w:r>
            <w:r>
              <w:rPr>
                <w:color w:val="auto"/>
                <w:sz w:val="18"/>
                <w:szCs w:val="18"/>
                <w:lang w:val="uk-UA"/>
              </w:rPr>
              <w:t>одні думи. Тема: Українські народні думи. «Маруся Богуславка» (Учень/учениця усвідомлює, що любов до вітчизни – одна з найбільших людських чеснот. Прагнення до гармонії вчинків із загальнолюдськими цінностями); 8 клас. Українська мова. Розділ: Словосполуче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ння й речення. Тема: Речення прості й складні (повторення), двоскладні й односкладні. Граматична помилка та її умовне позначення (практично) (Учень/учениця складає статті до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вікіпедії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 xml:space="preserve"> «Українські козаки: історія й сучасність» з використанням  простих і скл</w:t>
            </w:r>
            <w:r>
              <w:rPr>
                <w:color w:val="auto"/>
                <w:sz w:val="18"/>
                <w:szCs w:val="18"/>
                <w:lang w:val="uk-UA"/>
              </w:rPr>
              <w:t>адних, двоскладних і односкладних речень).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 w:rsidRPr="002B7BC4">
        <w:tc>
          <w:tcPr>
            <w:tcW w:w="6570" w:type="dxa"/>
            <w:gridSpan w:val="4"/>
            <w:vMerge/>
          </w:tcPr>
          <w:p w:rsidR="00150BA0" w:rsidRPr="002B7BC4" w:rsidRDefault="00150BA0">
            <w:pPr>
              <w:rPr>
                <w:rFonts w:ascii="Monotype Corsiva" w:eastAsia="SimSun" w:hAnsi="Monotype Corsiva" w:cs="Monotype Corsiva"/>
                <w:sz w:val="18"/>
                <w:szCs w:val="18"/>
                <w:lang w:val="uk-UA"/>
              </w:rPr>
            </w:pPr>
          </w:p>
        </w:tc>
        <w:tc>
          <w:tcPr>
            <w:tcW w:w="4770" w:type="dxa"/>
          </w:tcPr>
          <w:p w:rsidR="00150BA0" w:rsidRPr="002B7BC4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>
        <w:tc>
          <w:tcPr>
            <w:tcW w:w="11340" w:type="dxa"/>
            <w:gridSpan w:val="5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Розділ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3. НАЦІОНАЛЬНО-ВИЗВОЛЬНА ВІЙНА УКРАЇНСЬКОГО НАРОДУ </w:t>
            </w: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середини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XVII ст.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20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Передумови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Національно-визвольної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війни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Богдан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19. </w:t>
            </w:r>
          </w:p>
        </w:tc>
        <w:tc>
          <w:tcPr>
            <w:tcW w:w="4770" w:type="dxa"/>
            <w:vMerge w:val="restart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Знаю: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хронологічні межі національно-визвольної війни під </w:t>
            </w:r>
            <w:r>
              <w:rPr>
                <w:color w:val="auto"/>
                <w:sz w:val="18"/>
                <w:szCs w:val="18"/>
                <w:lang w:val="uk-UA"/>
              </w:rPr>
              <w:t>проводом Богдана Хмельницького;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дати укладення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Зборівської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 xml:space="preserve"> угоди та «Березневих статей»;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устрій Війська Запорозького – української козацької держави.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Розумію: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Хмельниччину як національно-визвольну, соціальну та релігійну війну;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Військо Запорозьке як </w:t>
            </w:r>
            <w:r>
              <w:rPr>
                <w:color w:val="auto"/>
                <w:sz w:val="18"/>
                <w:szCs w:val="18"/>
                <w:lang w:val="uk-UA"/>
              </w:rPr>
              <w:t>незалежну станову (козацько-гетьманську) військову державу (що не мала міжнародного юридичного визнання);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особливості здійснення владних повноважень Богданом Хмельницьким;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поняття «Гетьманщина», «Генеральна рада», «гетьман», «генеральна старшина», «універ</w:t>
            </w:r>
            <w:r>
              <w:rPr>
                <w:color w:val="auto"/>
                <w:sz w:val="18"/>
                <w:szCs w:val="18"/>
                <w:lang w:val="uk-UA"/>
              </w:rPr>
              <w:t>сал», «полк», «сотня».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розмістити в хронологічній послідовності битви і походи Національно-визвольної війни, рішення про політичні союзи та угоди Війська Запорозького з іншими державами;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показати на карті кордони Української козацької держави, основн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і напрямки походів і місця битв </w:t>
            </w:r>
            <w:r>
              <w:rPr>
                <w:color w:val="auto"/>
                <w:sz w:val="18"/>
                <w:szCs w:val="18"/>
                <w:lang w:val="uk-UA"/>
              </w:rPr>
              <w:lastRenderedPageBreak/>
              <w:t>Національно-визвольної війни;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розповісти про перебіг Національно-визвольної війни;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зіставити умови Зборівського і Білоцерківського договорів, «Березневих статей»;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визначити причини та наслідки: Національно-визвольної війни у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країнського народу, укладення українсько-московського договору 1654 р., утворення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українсько-шведсько-трансильванського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 xml:space="preserve"> союзу;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охарактеризувати устрій Війська Запорозького – української козацької держави;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проаналізувати відносини Війська Запорозького з дер</w:t>
            </w:r>
            <w:r>
              <w:rPr>
                <w:color w:val="auto"/>
                <w:sz w:val="18"/>
                <w:szCs w:val="18"/>
                <w:lang w:val="uk-UA"/>
              </w:rPr>
              <w:t>жавами-сусідами;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обґрунтувати власні судження про державотворчу та військово-політичну діяльність Богдана Хмельницького, його сподвижників.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Козацько-кримський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союз.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Події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1648–1649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рр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Зборівський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догові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20–21.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Події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1650–1651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рр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Битва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ід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Берестечком.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ілоцерківський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договір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Богун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22.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23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Битва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ід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Батогом.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Молдовські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походи. Облога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Жванця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23.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24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держава —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Військо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Запорозьке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24.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25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Зовнішня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політика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держави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:</w:t>
            </w: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пошуку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союзникі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25.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26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Українсько-московський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догові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1654 р.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26.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27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Воєнно-політичні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події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1654–1657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рр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Віленське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перемир’я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Українсько-шведсько-трансильванський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союз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27.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28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Практична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робота «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Національно-визвольна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війна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народу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lastRenderedPageBreak/>
              <w:t>середини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XVII ст.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історичних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джерелах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».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lastRenderedPageBreak/>
              <w:t>§ 28–29.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розділу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3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30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b/>
                <w:color w:val="0070C0"/>
                <w:sz w:val="22"/>
                <w:szCs w:val="22"/>
                <w:lang w:val="uk-UA"/>
              </w:rPr>
              <w:t>Тематичний контроль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6570" w:type="dxa"/>
            <w:gridSpan w:val="4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Орієнтовні завдання для практичних і творчих робіт: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внести в синхронізовану </w:t>
            </w:r>
            <w:r>
              <w:rPr>
                <w:color w:val="auto"/>
                <w:sz w:val="18"/>
                <w:szCs w:val="18"/>
                <w:lang w:val="uk-UA"/>
              </w:rPr>
              <w:t>хронологічну таблицю відомості про битви і походи Національно-визвольної війни, рішення про політичні союзи та угоди Війська Запорозького з іншими державами, інше;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відобразити на контурній карті перебіг Національно-визвольної війни, зміни територіальних ме</w:t>
            </w:r>
            <w:r>
              <w:rPr>
                <w:color w:val="auto"/>
                <w:sz w:val="18"/>
                <w:szCs w:val="18"/>
                <w:lang w:val="uk-UA"/>
              </w:rPr>
              <w:t>ж Української козацької держави – Війська Запорозького;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розробити порівняльну характеристику особистісних якостей, політичних позицій, військово-політичної діяльності Богдана Хмельницького, Івана Богуна, Яреми Вишневецького, Адама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Кисіля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 xml:space="preserve"> та ін. (</w:t>
            </w:r>
            <w:r>
              <w:rPr>
                <w:i/>
                <w:iCs/>
                <w:color w:val="auto"/>
                <w:sz w:val="18"/>
                <w:szCs w:val="18"/>
                <w:lang w:val="uk-UA"/>
              </w:rPr>
              <w:t>на вибір у</w:t>
            </w:r>
            <w:r>
              <w:rPr>
                <w:i/>
                <w:iCs/>
                <w:color w:val="auto"/>
                <w:sz w:val="18"/>
                <w:szCs w:val="18"/>
                <w:lang w:val="uk-UA"/>
              </w:rPr>
              <w:t>чня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/учениці</w:t>
            </w:r>
            <w:r>
              <w:rPr>
                <w:i/>
                <w:iCs/>
                <w:color w:val="auto"/>
                <w:sz w:val="18"/>
                <w:szCs w:val="18"/>
                <w:lang w:val="uk-UA"/>
              </w:rPr>
              <w:t>, вибір обґрунтувати</w:t>
            </w:r>
            <w:r>
              <w:rPr>
                <w:color w:val="auto"/>
                <w:sz w:val="18"/>
                <w:szCs w:val="18"/>
                <w:lang w:val="uk-UA"/>
              </w:rPr>
              <w:t>).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>
        <w:tc>
          <w:tcPr>
            <w:tcW w:w="11340" w:type="dxa"/>
            <w:gridSpan w:val="5"/>
          </w:tcPr>
          <w:p w:rsidR="00150BA0" w:rsidRDefault="002B7BC4">
            <w:pPr>
              <w:jc w:val="center"/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Розділ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4. КОЗАЦЬКА УКРАЇНА </w:t>
            </w: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наприкінці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50-х </w:t>
            </w: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років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ХVІІ – </w:t>
            </w:r>
            <w:proofErr w:type="gram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на</w:t>
            </w:r>
            <w:proofErr w:type="gram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початку ХVІІІ ст.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Виговський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Гадяцька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угода.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Українсько-московська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війна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Конотопська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битва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30. </w:t>
            </w:r>
          </w:p>
        </w:tc>
        <w:tc>
          <w:tcPr>
            <w:tcW w:w="4770" w:type="dxa"/>
            <w:vMerge w:val="restart"/>
          </w:tcPr>
          <w:p w:rsidR="00150BA0" w:rsidRDefault="002B7BC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Знаю: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дати укладення Гадяцької угоди, Корсунського 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договору і «Вічного миру»,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Карловицького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мирного договору, проведення «Чорної ради» під Ніжином, укладення угоди між Іваном Мазепою і Карлом ХІІ, Конституції Пилипа Орлика;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етапи заселення українцями й адміністративний устрій Слобідської України.</w:t>
            </w:r>
          </w:p>
          <w:p w:rsidR="00150BA0" w:rsidRDefault="002B7BC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Розумію: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Гетьманщину другої половини ХVII – початку ХVIIІ ст. як місце змагань за зміцнення інститутів держави і збереження державного суверенітету;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поняття «Руїна», «Чорна рада», «козацьке бароко».</w:t>
            </w:r>
          </w:p>
          <w:p w:rsidR="00150BA0" w:rsidRDefault="002B7BC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 xml:space="preserve">Умію: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розташувати в хронологічній послідовності відомості про зма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гання українців за зміцнення інститутів держави і збереження державного суверенітету в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перід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«Руїни» і гетьманування Івана Мазепи, а також про міждержавні угоди, що стосуються України;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простежити на основі карти хід боротьби за утвердження козацького </w:t>
            </w:r>
            <w:r>
              <w:rPr>
                <w:color w:val="auto"/>
                <w:sz w:val="22"/>
                <w:szCs w:val="22"/>
                <w:lang w:val="uk-UA"/>
              </w:rPr>
              <w:t>устрою та державного суверенітету на теренах України;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охарактеризувати адміністративно-територіальний устрій, господарське та повсякденне життя Гетьманщини, Слобожанщини і Запорожжя (Війська Запорозького Низового);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проаналізувати зміст і визначити сутніст</w:t>
            </w:r>
            <w:r>
              <w:rPr>
                <w:color w:val="auto"/>
                <w:sz w:val="22"/>
                <w:szCs w:val="22"/>
                <w:lang w:val="uk-UA"/>
              </w:rPr>
              <w:t>ь Гадяцької угоди, політики Російської держави («Договірних статей») щодо українських земель, Конституції Пилипа Орлика;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визначити причини і наслідки періоду </w:t>
            </w:r>
            <w:r>
              <w:rPr>
                <w:color w:val="auto"/>
                <w:sz w:val="22"/>
                <w:szCs w:val="22"/>
                <w:lang w:val="uk-UA"/>
              </w:rPr>
              <w:lastRenderedPageBreak/>
              <w:t>«Руїни», військово-політичного виступу Івана Мазепи;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обґрунтувати власні судження про діяльність к</w:t>
            </w:r>
            <w:r>
              <w:rPr>
                <w:color w:val="auto"/>
                <w:sz w:val="22"/>
                <w:szCs w:val="22"/>
                <w:lang w:val="uk-UA"/>
              </w:rPr>
              <w:t>озацьких гетьманів, кошових отаманів, діячів церкви та культури;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розпізнати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пам</w:t>
            </w:r>
            <w:proofErr w:type="spellEnd"/>
            <w:r>
              <w:rPr>
                <w:color w:val="auto"/>
                <w:sz w:val="22"/>
                <w:szCs w:val="22"/>
              </w:rPr>
              <w:t>’</w:t>
            </w:r>
            <w:r>
              <w:rPr>
                <w:color w:val="auto"/>
                <w:sz w:val="22"/>
                <w:szCs w:val="22"/>
                <w:lang w:val="uk-UA"/>
              </w:rPr>
              <w:t>ятки українського мистецтва в стилі бароко.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Початок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Руїни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Юрій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Хмельницький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Розкол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Гетьманської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31.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33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Павло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Тетеря та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Брюховецький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Андрусівське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перемир’я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32.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34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Петро Дорошенко.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Спроби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Лівобережної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Правобережної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Гетьманщини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Дем’ян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Многогрішний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33.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35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Самойлович.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Чигиринські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походи.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Бахчисарайський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мир. «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Вічний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мир».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</w:t>
            </w: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ирні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угоди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34.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36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Правобережне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Заселення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розвиток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Слобідської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Слобідські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полки.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Запорозьке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</w:t>
            </w:r>
            <w:proofErr w:type="spellEnd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ірко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35–36.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37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Гетьманщина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часів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Івана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Мазепи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37.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38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Пилип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Орлик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його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Конституція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Ліквідація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Правобережній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38.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39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Церковне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життя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Освіта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Наукові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знання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Арх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ітектура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39.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40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Практична робота «</w:t>
            </w:r>
            <w:proofErr w:type="spellStart"/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Руїна</w:t>
            </w:r>
            <w:proofErr w:type="spellEnd"/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кризове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явище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історії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». 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40–41.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розділу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4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b/>
                <w:color w:val="0070C0"/>
                <w:sz w:val="22"/>
                <w:szCs w:val="22"/>
                <w:lang w:val="uk-UA"/>
              </w:rPr>
              <w:t>Тематичний</w:t>
            </w:r>
            <w:r>
              <w:rPr>
                <w:b/>
                <w:color w:val="0070C0"/>
                <w:sz w:val="22"/>
                <w:szCs w:val="22"/>
                <w:lang w:val="uk-UA"/>
              </w:rPr>
              <w:t xml:space="preserve"> контроль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6570" w:type="dxa"/>
            <w:gridSpan w:val="4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Рекомендований перелік історичних осіб, про діяльність яких учні можуть формувати самостійні судження на основі навчальних матеріалів і адаптованих джерел: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i/>
                <w:color w:val="auto"/>
                <w:sz w:val="18"/>
                <w:szCs w:val="18"/>
                <w:lang w:val="uk-UA"/>
              </w:rPr>
              <w:t xml:space="preserve">гетьмани Іван Виговський, Юрій Хмельницький, Павло Тетеря, Іван Брюховецький, Петро 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 xml:space="preserve">Дорошенко, Дем’ян Многогрішний, Іван Самойлович, Іван Мазепа, Пилип Орлик, кошові отамани Іван Сірко, Кость Гордієнко, полковник Семен Палій, діячі церкви та культури Йосиф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/>
              </w:rPr>
              <w:t>Тукальський-Нелюбович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/>
              </w:rPr>
              <w:t xml:space="preserve">, Феофан Прокопович, Стефан </w:t>
            </w:r>
            <w:proofErr w:type="spellStart"/>
            <w:r>
              <w:rPr>
                <w:i/>
                <w:color w:val="auto"/>
                <w:sz w:val="18"/>
                <w:szCs w:val="18"/>
                <w:lang w:val="uk-UA"/>
              </w:rPr>
              <w:t>Яворський</w:t>
            </w:r>
            <w:proofErr w:type="spellEnd"/>
            <w:r>
              <w:rPr>
                <w:i/>
                <w:color w:val="auto"/>
                <w:sz w:val="18"/>
                <w:szCs w:val="18"/>
                <w:lang w:val="uk-UA"/>
              </w:rPr>
              <w:t>, інші (на розсуд учителя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/учительки).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Орієнтовні завдання для практичних і творчих робіт: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внести в синхронізовану хронологічну таблицю відомості про період Руїни, Гадяцьку угоду, Андрусівський договір, Бахчисарайський договір, «Вічний мир», повстання під проводом Семена Палія, 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зруйнування Батурина і </w:t>
            </w:r>
            <w:r>
              <w:rPr>
                <w:color w:val="auto"/>
                <w:sz w:val="18"/>
                <w:szCs w:val="18"/>
                <w:lang w:val="uk-UA"/>
              </w:rPr>
              <w:lastRenderedPageBreak/>
              <w:t>Чортомлицької Січі, Полтавську битву, ухвалення Конституції Пилипа Орлика, інше (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на розсуд учителя/учительки</w:t>
            </w:r>
            <w:r>
              <w:rPr>
                <w:color w:val="auto"/>
                <w:sz w:val="18"/>
                <w:szCs w:val="18"/>
                <w:lang w:val="uk-UA"/>
              </w:rPr>
              <w:t>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позначити на контурній карті об’єкти, що відображають боротьбу за утвердження козацького устрою і державного суверенітету </w:t>
            </w:r>
            <w:r>
              <w:rPr>
                <w:color w:val="auto"/>
                <w:sz w:val="18"/>
                <w:szCs w:val="18"/>
                <w:lang w:val="uk-UA"/>
              </w:rPr>
              <w:t>на теренах України в другій половині ХVII – на початку ХVIIІ ст.;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проаналізувати зміст «гетьманських (договірних) статей» (</w:t>
            </w:r>
            <w:r>
              <w:rPr>
                <w:i/>
                <w:color w:val="auto"/>
                <w:sz w:val="18"/>
                <w:szCs w:val="18"/>
                <w:lang w:val="uk-UA"/>
              </w:rPr>
              <w:t>на вибір учителя/учительки</w:t>
            </w:r>
            <w:r>
              <w:rPr>
                <w:color w:val="auto"/>
                <w:sz w:val="18"/>
                <w:szCs w:val="18"/>
                <w:lang w:val="uk-UA"/>
              </w:rPr>
              <w:t>), Гадяцької угоди, Конституції Пилипа Орлика; визначити на цій основі устрій української гетьманської держ</w:t>
            </w:r>
            <w:r>
              <w:rPr>
                <w:color w:val="auto"/>
                <w:sz w:val="18"/>
                <w:szCs w:val="18"/>
                <w:lang w:val="uk-UA"/>
              </w:rPr>
              <w:t>ави, порядок її взаємин з Московською державою (Річчю Посполитою / Шведською імперією) та поміркувати, якою мірою кожен з цих документів гарантував права і вольності правлячого стану, суверенітет Козацької держави.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  <w:tr w:rsidR="00150BA0">
        <w:tc>
          <w:tcPr>
            <w:tcW w:w="11340" w:type="dxa"/>
            <w:gridSpan w:val="5"/>
          </w:tcPr>
          <w:p w:rsidR="00150BA0" w:rsidRDefault="002B7BC4">
            <w:pPr>
              <w:jc w:val="center"/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lastRenderedPageBreak/>
              <w:t>Розділ</w:t>
            </w:r>
            <w:proofErr w:type="spell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5. УКРАЇНСЬКІ ЗЕМЛІ у 20–90-х </w:t>
            </w:r>
            <w:proofErr w:type="gramStart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ро</w:t>
            </w:r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>ках</w:t>
            </w:r>
            <w:proofErr w:type="gramEnd"/>
            <w:r>
              <w:rPr>
                <w:rFonts w:eastAsia="SimSun"/>
                <w:b/>
                <w:bCs/>
                <w:color w:val="FF0000"/>
                <w:sz w:val="24"/>
                <w:szCs w:val="24"/>
              </w:rPr>
              <w:t xml:space="preserve"> ХVІІІ ст.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43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Імперський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наступ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автономію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Гетьманщини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42. </w:t>
            </w:r>
          </w:p>
        </w:tc>
        <w:tc>
          <w:tcPr>
            <w:tcW w:w="4770" w:type="dxa"/>
            <w:vMerge w:val="restart"/>
          </w:tcPr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Знаю: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хронологічні межі існування Нової Січі;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період розгортання гайдамацького й опришківського рухів;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дати остаточної ліквідації гетьманства, козацького устрою і відновлення </w:t>
            </w:r>
            <w:r>
              <w:rPr>
                <w:color w:val="auto"/>
                <w:sz w:val="18"/>
                <w:szCs w:val="18"/>
                <w:lang w:val="uk-UA"/>
              </w:rPr>
              <w:t>кріпосництва в Слобідській та Лівобережній Україні, включення Галичини до складу Австрійської монархії та Правобережжя і Волині до складу Російської імперії.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Розумію: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причини втрати українцями державності;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внесок Києво-Могилянської академії в розвиток </w:t>
            </w:r>
            <w:r>
              <w:rPr>
                <w:color w:val="auto"/>
                <w:sz w:val="18"/>
                <w:szCs w:val="18"/>
                <w:lang w:val="uk-UA"/>
              </w:rPr>
              <w:t>освіти;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поняття «паланка», «гайдамаки», «Коліївщина», «опришки», «козацькі літописи». </w:t>
            </w:r>
          </w:p>
          <w:p w:rsidR="00150BA0" w:rsidRDefault="002B7BC4">
            <w:pPr>
              <w:rPr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Умію: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розташувати в хронологічній послідовності події, що засвідчують наступ на українську державність з боку Російської імперії;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показати на карті території утворень, щ</w:t>
            </w:r>
            <w:r>
              <w:rPr>
                <w:color w:val="auto"/>
                <w:sz w:val="18"/>
                <w:szCs w:val="18"/>
                <w:lang w:val="uk-UA"/>
              </w:rPr>
              <w:t>о зберігали ознаки української державності (Гетьманщини, Нової Січі, Слобідської України), українські землі, які потрапили до складу Російської імперії та Австрійської монархії внаслідок російсько-турецьких воєн, поділів Речі Посполитої, ліквідації Кримськ</w:t>
            </w:r>
            <w:r>
              <w:rPr>
                <w:color w:val="auto"/>
                <w:sz w:val="18"/>
                <w:szCs w:val="18"/>
                <w:lang w:val="uk-UA"/>
              </w:rPr>
              <w:t>ого ханства; райони розгортання гайдамацького та опришківського рухів;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охарактеризувати політику Російської й Австрійської імперій щодо українських земель; 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встановити причини і наслідки скасування гетьманства, ліквідації Запорозької Січі, приєднання Право</w:t>
            </w:r>
            <w:r>
              <w:rPr>
                <w:color w:val="auto"/>
                <w:sz w:val="18"/>
                <w:szCs w:val="18"/>
                <w:lang w:val="uk-UA"/>
              </w:rPr>
              <w:t xml:space="preserve">бережжя, Поділля, Волині та Кримського ханства до Росії, гайдамацького руху на Правобережжі, опришківського руху на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Підкарпатті</w:t>
            </w:r>
            <w:proofErr w:type="spellEnd"/>
            <w:r>
              <w:rPr>
                <w:color w:val="auto"/>
                <w:sz w:val="18"/>
                <w:szCs w:val="18"/>
                <w:lang w:val="uk-UA"/>
              </w:rPr>
              <w:t>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обґрунтувати власні судження про діяльність козацьких гетьманів і кошових отаманів, ватажків селянських виступів, діячів культу</w:t>
            </w:r>
            <w:r>
              <w:rPr>
                <w:color w:val="auto"/>
                <w:sz w:val="18"/>
                <w:szCs w:val="18"/>
                <w:lang w:val="uk-UA"/>
              </w:rPr>
              <w:t>ри ХVІІІ ст.;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визначити особливості розвитку культури періоду козацького бароко.</w:t>
            </w: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44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Відродження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гетьманства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Данило Апостол.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уряду. Нова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іч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43.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45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Ліквідація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гетьманства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козацького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устрою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Підкорення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Кримського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ханства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осією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44.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46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Правобережна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Україна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Землі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Західної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 20–90-х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роках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ХVІІІ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45.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47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Поділи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Речі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Посполитої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Зміни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становищі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Правобережної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зах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ідноукраїнських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земель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46–47.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48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Розвиток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культури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 20–90-х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роках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ХVІІІ ст.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§ 48. 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49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Практична</w:t>
            </w:r>
            <w:proofErr w:type="gram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робота «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Суспільно-політичне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життя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землях у ХVІІІ ст.».</w:t>
            </w:r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49–50.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50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розділу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5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51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rFonts w:ascii="Monotype Corsiva" w:hAnsi="Monotype Corsiva" w:cs="Monotype Corsiva"/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Історія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контексті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епохи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Раннього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Нового часу.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Внесок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України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європейської</w:t>
            </w:r>
            <w:proofErr w:type="spellEnd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цивілізації</w:t>
            </w:r>
            <w:proofErr w:type="spellEnd"/>
          </w:p>
        </w:tc>
        <w:tc>
          <w:tcPr>
            <w:tcW w:w="129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</w:rPr>
              <w:t>§ 51–52.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>
        <w:tc>
          <w:tcPr>
            <w:tcW w:w="480" w:type="dxa"/>
          </w:tcPr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  <w:t>52</w:t>
            </w:r>
          </w:p>
        </w:tc>
        <w:tc>
          <w:tcPr>
            <w:tcW w:w="832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3968" w:type="dxa"/>
          </w:tcPr>
          <w:p w:rsidR="00150BA0" w:rsidRDefault="002B7BC4">
            <w:pPr>
              <w:rPr>
                <w:b/>
                <w:color w:val="0070C0"/>
                <w:sz w:val="22"/>
                <w:szCs w:val="22"/>
                <w:lang w:val="uk-UA"/>
              </w:rPr>
            </w:pPr>
            <w:r>
              <w:rPr>
                <w:b/>
                <w:color w:val="0070C0"/>
                <w:sz w:val="22"/>
                <w:szCs w:val="22"/>
                <w:lang w:val="uk-UA"/>
              </w:rPr>
              <w:t>Тематичний контроль</w:t>
            </w:r>
          </w:p>
        </w:tc>
        <w:tc>
          <w:tcPr>
            <w:tcW w:w="1290" w:type="dxa"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</w:rPr>
            </w:pPr>
          </w:p>
        </w:tc>
      </w:tr>
      <w:tr w:rsidR="00150BA0" w:rsidRPr="002B7BC4">
        <w:tc>
          <w:tcPr>
            <w:tcW w:w="6570" w:type="dxa"/>
            <w:gridSpan w:val="4"/>
          </w:tcPr>
          <w:p w:rsidR="00150BA0" w:rsidRDefault="002B7BC4">
            <w:pPr>
              <w:rPr>
                <w:color w:val="auto"/>
                <w:sz w:val="16"/>
                <w:szCs w:val="16"/>
                <w:lang w:val="uk-UA"/>
              </w:rPr>
            </w:pPr>
            <w:r>
              <w:rPr>
                <w:b/>
                <w:color w:val="auto"/>
                <w:sz w:val="16"/>
                <w:szCs w:val="16"/>
                <w:lang w:val="uk-UA"/>
              </w:rPr>
              <w:t>Рекомендований перелік історичних осіб, про діяльність яких учні</w:t>
            </w:r>
            <w:r>
              <w:rPr>
                <w:i/>
                <w:color w:val="auto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auto"/>
                <w:sz w:val="16"/>
                <w:szCs w:val="16"/>
                <w:lang w:val="uk-UA"/>
              </w:rPr>
              <w:t xml:space="preserve">учениці можуть формувати самостійні </w:t>
            </w:r>
            <w:r>
              <w:rPr>
                <w:b/>
                <w:color w:val="auto"/>
                <w:sz w:val="16"/>
                <w:szCs w:val="16"/>
                <w:lang w:val="uk-UA"/>
              </w:rPr>
              <w:t>судження на основі навчальних матеріалів і адаптованих джерел:</w:t>
            </w:r>
            <w:r>
              <w:rPr>
                <w:color w:val="auto"/>
                <w:sz w:val="16"/>
                <w:szCs w:val="16"/>
                <w:lang w:val="uk-UA"/>
              </w:rPr>
              <w:t xml:space="preserve"> </w:t>
            </w:r>
          </w:p>
          <w:p w:rsidR="00150BA0" w:rsidRDefault="002B7BC4">
            <w:pPr>
              <w:rPr>
                <w:color w:val="auto"/>
                <w:sz w:val="16"/>
                <w:szCs w:val="16"/>
                <w:lang w:val="uk-UA"/>
              </w:rPr>
            </w:pPr>
            <w:r>
              <w:rPr>
                <w:i/>
                <w:color w:val="auto"/>
                <w:sz w:val="16"/>
                <w:szCs w:val="16"/>
                <w:lang w:val="uk-UA"/>
              </w:rPr>
              <w:t>гетьмани Іван Скоропадський, Павло Полуботок, Данило Апостол, Кирило Розумовський, кошовий отаман Петро Калнишевський, керівники селянських виступів Олекса Довбуш, Максим Залізняк, Іван Гонта,</w:t>
            </w:r>
            <w:r>
              <w:rPr>
                <w:i/>
                <w:color w:val="auto"/>
                <w:sz w:val="16"/>
                <w:szCs w:val="16"/>
                <w:lang w:val="uk-UA"/>
              </w:rPr>
              <w:t xml:space="preserve"> діячі культури Григорій Сковорода, </w:t>
            </w:r>
            <w:proofErr w:type="spellStart"/>
            <w:r>
              <w:rPr>
                <w:i/>
                <w:color w:val="auto"/>
                <w:sz w:val="16"/>
                <w:szCs w:val="16"/>
                <w:lang w:val="uk-UA"/>
              </w:rPr>
              <w:t>Паїсій</w:t>
            </w:r>
            <w:proofErr w:type="spellEnd"/>
            <w:r>
              <w:rPr>
                <w:i/>
                <w:color w:val="auto"/>
                <w:sz w:val="16"/>
                <w:szCs w:val="16"/>
                <w:lang w:val="uk-UA"/>
              </w:rPr>
              <w:t xml:space="preserve"> Величковський та інші (на розсуд учителя/учительки).</w:t>
            </w:r>
          </w:p>
          <w:p w:rsidR="00150BA0" w:rsidRDefault="002B7BC4">
            <w:pPr>
              <w:rPr>
                <w:color w:val="auto"/>
                <w:sz w:val="16"/>
                <w:szCs w:val="16"/>
                <w:lang w:val="uk-UA"/>
              </w:rPr>
            </w:pPr>
            <w:r>
              <w:rPr>
                <w:b/>
                <w:color w:val="auto"/>
                <w:sz w:val="16"/>
                <w:szCs w:val="16"/>
                <w:lang w:val="uk-UA"/>
              </w:rPr>
              <w:t>Завдання для практичних робіт: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внести у синхронізовану хронологічну таблицю відомості про остаточну ліквідацію гетьманства й Запорозької Січі, Кримського ханств</w:t>
            </w:r>
            <w:r>
              <w:rPr>
                <w:color w:val="auto"/>
                <w:sz w:val="16"/>
                <w:szCs w:val="16"/>
                <w:lang w:val="uk-UA"/>
              </w:rPr>
              <w:t>а, поділи Речі Посполитої, закріпачення селян Лівобережної та Слобідської України, Коліївщину, рух опришків, відновлення діяльності Львівського університету, інше (</w:t>
            </w:r>
            <w:r>
              <w:rPr>
                <w:i/>
                <w:color w:val="auto"/>
                <w:sz w:val="16"/>
                <w:szCs w:val="16"/>
                <w:lang w:val="uk-UA"/>
              </w:rPr>
              <w:t>на розсуд учителя/учительки</w:t>
            </w:r>
            <w:r>
              <w:rPr>
                <w:color w:val="auto"/>
                <w:sz w:val="16"/>
                <w:szCs w:val="16"/>
                <w:lang w:val="uk-UA"/>
              </w:rPr>
              <w:t>);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позначити на контурній карті регіони, що в ХVІІІ ст. зберігали</w:t>
            </w:r>
            <w:r>
              <w:rPr>
                <w:color w:val="auto"/>
                <w:sz w:val="16"/>
                <w:szCs w:val="16"/>
                <w:lang w:val="uk-UA"/>
              </w:rPr>
              <w:t xml:space="preserve"> ознаки української державності (територію Гетьманщини, Нової Січі, Слобідської України), землі України, які потрапили до складу Російської імперії та Австрійської монархії внаслідок російсько-турецьких воєн, поділів Речі Посполитої, ліквідації Кримського </w:t>
            </w:r>
            <w:r>
              <w:rPr>
                <w:color w:val="auto"/>
                <w:sz w:val="16"/>
                <w:szCs w:val="16"/>
                <w:lang w:val="uk-UA"/>
              </w:rPr>
              <w:t>ханства;</w:t>
            </w:r>
          </w:p>
          <w:p w:rsidR="00150BA0" w:rsidRDefault="002B7BC4">
            <w:pPr>
              <w:numPr>
                <w:ilvl w:val="0"/>
                <w:numId w:val="1"/>
              </w:numPr>
              <w:ind w:hanging="360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визначити (використовуючи витяги з козацьких літописів ХVІІ–ХVІІІ ст.) способи та засоби, до яких вдавалися гетьмани, козацька старшина, аби відстояти суверенітет Козацької держави;</w:t>
            </w:r>
          </w:p>
          <w:p w:rsidR="00150BA0" w:rsidRDefault="002B7BC4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здійснити уявну мандрівку до історико-культурних пам’яток України</w:t>
            </w:r>
            <w:r>
              <w:rPr>
                <w:color w:val="auto"/>
                <w:sz w:val="16"/>
                <w:szCs w:val="16"/>
                <w:lang w:val="uk-UA"/>
              </w:rPr>
              <w:t> / рідного краю доби бароко, встановити цінності й норми життя, що їх утверджували автори цих витворів мистецтва (архітектури, скульптури, образотворчого мистецтва).</w:t>
            </w:r>
          </w:p>
        </w:tc>
        <w:tc>
          <w:tcPr>
            <w:tcW w:w="4770" w:type="dxa"/>
            <w:vMerge/>
          </w:tcPr>
          <w:p w:rsidR="00150BA0" w:rsidRDefault="00150BA0">
            <w:pPr>
              <w:rPr>
                <w:rFonts w:ascii="Monotype Corsiva" w:eastAsia="SimSun" w:hAnsi="Monotype Corsiva" w:cs="Monotype Corsiva"/>
                <w:sz w:val="24"/>
                <w:szCs w:val="24"/>
                <w:lang w:val="uk-UA"/>
              </w:rPr>
            </w:pPr>
          </w:p>
        </w:tc>
      </w:tr>
    </w:tbl>
    <w:p w:rsidR="00150BA0" w:rsidRPr="002B7BC4" w:rsidRDefault="00150BA0">
      <w:pPr>
        <w:rPr>
          <w:rFonts w:ascii="Monotype Corsiva" w:eastAsia="SimSun" w:hAnsi="Monotype Corsiva" w:cs="Monotype Corsiva"/>
          <w:sz w:val="24"/>
          <w:szCs w:val="24"/>
          <w:lang w:val="uk-UA"/>
        </w:rPr>
      </w:pPr>
    </w:p>
    <w:sectPr w:rsidR="00150BA0" w:rsidRPr="002B7B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2335590F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0171"/>
    <w:rsid w:val="00150BA0"/>
    <w:rsid w:val="002B7BC4"/>
    <w:rsid w:val="29CB0171"/>
    <w:rsid w:val="72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vzhil</dc:creator>
  <cp:lastModifiedBy>Admin</cp:lastModifiedBy>
  <cp:revision>2</cp:revision>
  <dcterms:created xsi:type="dcterms:W3CDTF">2021-11-08T07:30:00Z</dcterms:created>
  <dcterms:modified xsi:type="dcterms:W3CDTF">2021-11-08T07:30:00Z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